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EF7C0" w14:textId="77777777" w:rsidR="005F5399" w:rsidRPr="004853FA" w:rsidRDefault="005F5399" w:rsidP="005F5399">
      <w:pPr>
        <w:rPr>
          <w:rFonts w:asciiTheme="minorHAnsi" w:hAnsiTheme="minorHAnsi" w:cstheme="minorHAnsi"/>
          <w:b/>
          <w:bCs/>
          <w:sz w:val="22"/>
          <w:szCs w:val="22"/>
        </w:rPr>
      </w:pPr>
      <w:r w:rsidRPr="004853FA">
        <w:rPr>
          <w:rFonts w:asciiTheme="minorHAnsi" w:hAnsiTheme="minorHAnsi" w:cstheme="minorHAnsi"/>
          <w:b/>
          <w:bCs/>
          <w:sz w:val="22"/>
          <w:szCs w:val="22"/>
        </w:rPr>
        <w:t xml:space="preserve">Online Markt 2020 im Aufwind </w:t>
      </w:r>
    </w:p>
    <w:p w14:paraId="4C43375F" w14:textId="77777777" w:rsidR="004853FA" w:rsidRDefault="004853FA" w:rsidP="005F5399">
      <w:pPr>
        <w:rPr>
          <w:rFonts w:asciiTheme="minorHAnsi" w:hAnsiTheme="minorHAnsi" w:cstheme="minorHAnsi"/>
          <w:color w:val="1C1C1A"/>
          <w:sz w:val="22"/>
          <w:szCs w:val="22"/>
        </w:rPr>
      </w:pPr>
    </w:p>
    <w:p w14:paraId="49B0214F" w14:textId="59EFE573" w:rsidR="005F5399" w:rsidRPr="004853FA" w:rsidRDefault="005F5399" w:rsidP="005F5399">
      <w:pPr>
        <w:rPr>
          <w:rFonts w:asciiTheme="minorHAnsi" w:hAnsiTheme="minorHAnsi" w:cstheme="minorHAnsi"/>
          <w:color w:val="1C1C1A"/>
          <w:sz w:val="22"/>
          <w:szCs w:val="22"/>
        </w:rPr>
      </w:pPr>
      <w:r w:rsidRPr="004853FA">
        <w:rPr>
          <w:rFonts w:asciiTheme="minorHAnsi" w:hAnsiTheme="minorHAnsi" w:cstheme="minorHAnsi"/>
          <w:color w:val="1C1C1A"/>
          <w:sz w:val="22"/>
          <w:szCs w:val="22"/>
        </w:rPr>
        <w:t xml:space="preserve">Karamba, eine der beliebtesten Spielplattformen </w:t>
      </w:r>
      <w:r w:rsidR="004853FA">
        <w:rPr>
          <w:rFonts w:asciiTheme="minorHAnsi" w:hAnsiTheme="minorHAnsi" w:cstheme="minorHAnsi"/>
          <w:color w:val="1C1C1A"/>
          <w:sz w:val="22"/>
          <w:szCs w:val="22"/>
        </w:rPr>
        <w:t>im Bereich des online Entertainment</w:t>
      </w:r>
      <w:r w:rsidR="005206D4">
        <w:rPr>
          <w:rFonts w:asciiTheme="minorHAnsi" w:hAnsiTheme="minorHAnsi" w:cstheme="minorHAnsi"/>
          <w:color w:val="1C1C1A"/>
          <w:sz w:val="22"/>
          <w:szCs w:val="22"/>
        </w:rPr>
        <w:t>,</w:t>
      </w:r>
      <w:r w:rsidRPr="004853FA">
        <w:rPr>
          <w:rFonts w:asciiTheme="minorHAnsi" w:hAnsiTheme="minorHAnsi" w:cstheme="minorHAnsi"/>
          <w:color w:val="1C1C1A"/>
          <w:sz w:val="22"/>
          <w:szCs w:val="22"/>
        </w:rPr>
        <w:t xml:space="preserve"> wurde von </w:t>
      </w:r>
      <w:r w:rsidRPr="00A83BEC">
        <w:rPr>
          <w:rFonts w:asciiTheme="minorHAnsi" w:hAnsiTheme="minorHAnsi" w:cstheme="minorHAnsi"/>
          <w:sz w:val="22"/>
          <w:szCs w:val="22"/>
        </w:rPr>
        <w:t>OnlineCasinosDeutschland.com zum besten Internet Casino im Juli 2020</w:t>
      </w:r>
      <w:r w:rsidRPr="004853FA">
        <w:rPr>
          <w:rFonts w:asciiTheme="minorHAnsi" w:hAnsiTheme="minorHAnsi" w:cstheme="minorHAnsi"/>
          <w:color w:val="1C1C1A"/>
          <w:sz w:val="22"/>
          <w:szCs w:val="22"/>
        </w:rPr>
        <w:t xml:space="preserve"> gekürt. Als ein Produkt der Aspire Group ist die Plattform ein Beispiel </w:t>
      </w:r>
      <w:r w:rsidR="005206D4">
        <w:rPr>
          <w:rFonts w:asciiTheme="minorHAnsi" w:hAnsiTheme="minorHAnsi" w:cstheme="minorHAnsi"/>
          <w:color w:val="1C1C1A"/>
          <w:sz w:val="22"/>
          <w:szCs w:val="22"/>
        </w:rPr>
        <w:t>für</w:t>
      </w:r>
      <w:r w:rsidRPr="004853FA">
        <w:rPr>
          <w:rFonts w:asciiTheme="minorHAnsi" w:hAnsiTheme="minorHAnsi" w:cstheme="minorHAnsi"/>
          <w:color w:val="1C1C1A"/>
          <w:sz w:val="22"/>
          <w:szCs w:val="22"/>
        </w:rPr>
        <w:t xml:space="preserve"> Nachhaltigkeit, Usability und strenges Qualitätsmanagement im stark steigenden Sektor der Online Games. Der Geschäftsbericht</w:t>
      </w:r>
      <w:r w:rsidR="005206D4">
        <w:rPr>
          <w:rFonts w:asciiTheme="minorHAnsi" w:hAnsiTheme="minorHAnsi" w:cstheme="minorHAnsi"/>
          <w:color w:val="1C1C1A"/>
          <w:sz w:val="22"/>
          <w:szCs w:val="22"/>
        </w:rPr>
        <w:t>,</w:t>
      </w:r>
      <w:r w:rsidRPr="004853FA">
        <w:rPr>
          <w:rFonts w:asciiTheme="minorHAnsi" w:hAnsiTheme="minorHAnsi" w:cstheme="minorHAnsi"/>
          <w:color w:val="1C1C1A"/>
          <w:sz w:val="22"/>
          <w:szCs w:val="22"/>
        </w:rPr>
        <w:t xml:space="preserve"> der hinter </w:t>
      </w:r>
      <w:hyperlink r:id="rId4" w:history="1">
        <w:r w:rsidRPr="004853FA">
          <w:rPr>
            <w:rStyle w:val="Hyperlink"/>
            <w:rFonts w:asciiTheme="minorHAnsi" w:hAnsiTheme="minorHAnsi" w:cstheme="minorHAnsi"/>
            <w:sz w:val="22"/>
            <w:szCs w:val="22"/>
          </w:rPr>
          <w:t>Karamba</w:t>
        </w:r>
      </w:hyperlink>
      <w:r w:rsidRPr="004853FA">
        <w:rPr>
          <w:rFonts w:asciiTheme="minorHAnsi" w:hAnsiTheme="minorHAnsi" w:cstheme="minorHAnsi"/>
          <w:color w:val="1C1C1A"/>
          <w:sz w:val="22"/>
          <w:szCs w:val="22"/>
        </w:rPr>
        <w:t xml:space="preserve"> stehenden White Label Group Aspire</w:t>
      </w:r>
      <w:r w:rsidR="005206D4">
        <w:rPr>
          <w:rFonts w:asciiTheme="minorHAnsi" w:hAnsiTheme="minorHAnsi" w:cstheme="minorHAnsi"/>
          <w:color w:val="1C1C1A"/>
          <w:sz w:val="22"/>
          <w:szCs w:val="22"/>
        </w:rPr>
        <w:t>,</w:t>
      </w:r>
      <w:r w:rsidRPr="004853FA">
        <w:rPr>
          <w:rFonts w:asciiTheme="minorHAnsi" w:hAnsiTheme="minorHAnsi" w:cstheme="minorHAnsi"/>
          <w:color w:val="1C1C1A"/>
          <w:sz w:val="22"/>
          <w:szCs w:val="22"/>
        </w:rPr>
        <w:t xml:space="preserve"> zeigt beispielhaft </w:t>
      </w:r>
      <w:r w:rsidR="008E339C">
        <w:rPr>
          <w:rFonts w:asciiTheme="minorHAnsi" w:hAnsiTheme="minorHAnsi" w:cstheme="minorHAnsi"/>
          <w:color w:val="1C1C1A"/>
          <w:sz w:val="22"/>
          <w:szCs w:val="22"/>
        </w:rPr>
        <w:t>Benchmarks und Fakten in</w:t>
      </w:r>
      <w:r w:rsidRPr="004853FA">
        <w:rPr>
          <w:rFonts w:asciiTheme="minorHAnsi" w:hAnsiTheme="minorHAnsi" w:cstheme="minorHAnsi"/>
          <w:color w:val="1C1C1A"/>
          <w:sz w:val="22"/>
          <w:szCs w:val="22"/>
        </w:rPr>
        <w:t xml:space="preserve"> eine</w:t>
      </w:r>
      <w:r w:rsidR="008E339C">
        <w:rPr>
          <w:rFonts w:asciiTheme="minorHAnsi" w:hAnsiTheme="minorHAnsi" w:cstheme="minorHAnsi"/>
          <w:color w:val="1C1C1A"/>
          <w:sz w:val="22"/>
          <w:szCs w:val="22"/>
        </w:rPr>
        <w:t>m</w:t>
      </w:r>
      <w:r w:rsidRPr="004853FA">
        <w:rPr>
          <w:rFonts w:asciiTheme="minorHAnsi" w:hAnsiTheme="minorHAnsi" w:cstheme="minorHAnsi"/>
          <w:color w:val="1C1C1A"/>
          <w:sz w:val="22"/>
          <w:szCs w:val="22"/>
        </w:rPr>
        <w:t xml:space="preserve"> Markt im Aufwind.</w:t>
      </w:r>
    </w:p>
    <w:p w14:paraId="04FABFD3" w14:textId="77777777" w:rsidR="005F5399" w:rsidRPr="004853FA" w:rsidRDefault="005F5399" w:rsidP="005F5399">
      <w:pPr>
        <w:rPr>
          <w:rFonts w:asciiTheme="minorHAnsi" w:hAnsiTheme="minorHAnsi" w:cstheme="minorHAnsi"/>
          <w:color w:val="1C1C1A"/>
          <w:sz w:val="22"/>
          <w:szCs w:val="22"/>
        </w:rPr>
      </w:pPr>
    </w:p>
    <w:p w14:paraId="229DB940" w14:textId="77777777" w:rsidR="005F5399" w:rsidRPr="004853FA" w:rsidRDefault="008F20A1" w:rsidP="005F5399">
      <w:pPr>
        <w:rPr>
          <w:rFonts w:asciiTheme="minorHAnsi" w:hAnsiTheme="minorHAnsi" w:cstheme="minorHAnsi"/>
          <w:sz w:val="22"/>
          <w:szCs w:val="22"/>
        </w:rPr>
      </w:pPr>
      <w:r w:rsidRPr="004853FA">
        <w:rPr>
          <w:rFonts w:asciiTheme="minorHAnsi" w:hAnsiTheme="minorHAnsi" w:cstheme="minorHAnsi"/>
          <w:sz w:val="22"/>
          <w:szCs w:val="22"/>
        </w:rPr>
        <w:t>Weltweiter Boom für Online Games</w:t>
      </w:r>
    </w:p>
    <w:p w14:paraId="17D89D8D" w14:textId="77777777" w:rsidR="005F5399" w:rsidRPr="004853FA" w:rsidRDefault="005F5399" w:rsidP="005F5399">
      <w:pPr>
        <w:rPr>
          <w:rFonts w:asciiTheme="minorHAnsi" w:hAnsiTheme="minorHAnsi" w:cstheme="minorHAnsi"/>
          <w:sz w:val="22"/>
          <w:szCs w:val="22"/>
        </w:rPr>
      </w:pPr>
      <w:r w:rsidRPr="004853FA">
        <w:rPr>
          <w:rFonts w:asciiTheme="minorHAnsi" w:hAnsiTheme="minorHAnsi" w:cstheme="minorHAnsi"/>
          <w:sz w:val="22"/>
          <w:szCs w:val="22"/>
        </w:rPr>
        <w:t xml:space="preserve">Laut </w:t>
      </w:r>
      <w:hyperlink r:id="rId5" w:history="1">
        <w:r w:rsidRPr="004853FA">
          <w:rPr>
            <w:rStyle w:val="Hyperlink"/>
            <w:rFonts w:asciiTheme="minorHAnsi" w:hAnsiTheme="minorHAnsi" w:cstheme="minorHAnsi"/>
            <w:sz w:val="22"/>
            <w:szCs w:val="22"/>
          </w:rPr>
          <w:t>Statista.de wird der globale Umsatz im Segment der Online Games</w:t>
        </w:r>
      </w:hyperlink>
      <w:r w:rsidRPr="004853FA">
        <w:rPr>
          <w:rFonts w:asciiTheme="minorHAnsi" w:hAnsiTheme="minorHAnsi" w:cstheme="minorHAnsi"/>
          <w:sz w:val="22"/>
          <w:szCs w:val="22"/>
        </w:rPr>
        <w:t xml:space="preserve"> </w:t>
      </w:r>
      <w:r w:rsidR="004853FA">
        <w:rPr>
          <w:rFonts w:asciiTheme="minorHAnsi" w:hAnsiTheme="minorHAnsi" w:cstheme="minorHAnsi"/>
          <w:sz w:val="22"/>
          <w:szCs w:val="22"/>
        </w:rPr>
        <w:t>weiter</w:t>
      </w:r>
      <w:r w:rsidRPr="004853FA">
        <w:rPr>
          <w:rFonts w:asciiTheme="minorHAnsi" w:hAnsiTheme="minorHAnsi" w:cstheme="minorHAnsi"/>
          <w:sz w:val="22"/>
          <w:szCs w:val="22"/>
        </w:rPr>
        <w:t xml:space="preserve"> </w:t>
      </w:r>
      <w:r w:rsidR="008E339C">
        <w:rPr>
          <w:rFonts w:asciiTheme="minorHAnsi" w:hAnsiTheme="minorHAnsi" w:cstheme="minorHAnsi"/>
          <w:sz w:val="22"/>
          <w:szCs w:val="22"/>
        </w:rPr>
        <w:t xml:space="preserve">stark </w:t>
      </w:r>
      <w:r w:rsidRPr="004853FA">
        <w:rPr>
          <w:rFonts w:asciiTheme="minorHAnsi" w:hAnsiTheme="minorHAnsi" w:cstheme="minorHAnsi"/>
          <w:sz w:val="22"/>
          <w:szCs w:val="22"/>
        </w:rPr>
        <w:t xml:space="preserve">anwachsen. Im Jahr 2020 wird ein Plus von 7,39% erwartet. Wie das </w:t>
      </w:r>
      <w:r w:rsidR="003B1C90" w:rsidRPr="004853FA">
        <w:rPr>
          <w:rFonts w:asciiTheme="minorHAnsi" w:hAnsiTheme="minorHAnsi" w:cstheme="minorHAnsi"/>
          <w:sz w:val="22"/>
          <w:szCs w:val="22"/>
        </w:rPr>
        <w:t xml:space="preserve">in </w:t>
      </w:r>
      <w:r w:rsidRPr="004853FA">
        <w:rPr>
          <w:rFonts w:asciiTheme="minorHAnsi" w:hAnsiTheme="minorHAnsi" w:cstheme="minorHAnsi"/>
          <w:sz w:val="22"/>
          <w:szCs w:val="22"/>
        </w:rPr>
        <w:t xml:space="preserve">der Grafik </w:t>
      </w:r>
      <w:r w:rsidR="003B1C90" w:rsidRPr="004853FA">
        <w:rPr>
          <w:rFonts w:asciiTheme="minorHAnsi" w:hAnsiTheme="minorHAnsi" w:cstheme="minorHAnsi"/>
          <w:sz w:val="22"/>
          <w:szCs w:val="22"/>
        </w:rPr>
        <w:t xml:space="preserve">abgebildete Szenario </w:t>
      </w:r>
      <w:r w:rsidRPr="004853FA">
        <w:rPr>
          <w:rFonts w:asciiTheme="minorHAnsi" w:hAnsiTheme="minorHAnsi" w:cstheme="minorHAnsi"/>
          <w:sz w:val="22"/>
          <w:szCs w:val="22"/>
        </w:rPr>
        <w:t xml:space="preserve">zeigt, wird sich </w:t>
      </w:r>
      <w:r w:rsidR="003B1C90" w:rsidRPr="004853FA">
        <w:rPr>
          <w:rFonts w:asciiTheme="minorHAnsi" w:hAnsiTheme="minorHAnsi" w:cstheme="minorHAnsi"/>
          <w:sz w:val="22"/>
          <w:szCs w:val="22"/>
        </w:rPr>
        <w:t>dieser</w:t>
      </w:r>
      <w:r w:rsidRPr="004853FA">
        <w:rPr>
          <w:rFonts w:asciiTheme="minorHAnsi" w:hAnsiTheme="minorHAnsi" w:cstheme="minorHAnsi"/>
          <w:sz w:val="22"/>
          <w:szCs w:val="22"/>
        </w:rPr>
        <w:t xml:space="preserve"> positive Trend </w:t>
      </w:r>
      <w:r w:rsidR="003B1C90" w:rsidRPr="004853FA">
        <w:rPr>
          <w:rFonts w:asciiTheme="minorHAnsi" w:hAnsiTheme="minorHAnsi" w:cstheme="minorHAnsi"/>
          <w:sz w:val="22"/>
          <w:szCs w:val="22"/>
        </w:rPr>
        <w:t xml:space="preserve">auch in den kommenden Jahren </w:t>
      </w:r>
      <w:r w:rsidRPr="004853FA">
        <w:rPr>
          <w:rFonts w:asciiTheme="minorHAnsi" w:hAnsiTheme="minorHAnsi" w:cstheme="minorHAnsi"/>
          <w:sz w:val="22"/>
          <w:szCs w:val="22"/>
        </w:rPr>
        <w:t xml:space="preserve">voraussichtlich fortsetzen. </w:t>
      </w:r>
    </w:p>
    <w:p w14:paraId="6C20E0C5" w14:textId="77777777" w:rsidR="005F5399" w:rsidRPr="004853FA" w:rsidRDefault="005F5399" w:rsidP="005F5399">
      <w:pPr>
        <w:rPr>
          <w:rFonts w:asciiTheme="minorHAnsi" w:hAnsiTheme="minorHAnsi" w:cstheme="minorHAnsi"/>
          <w:color w:val="1C1C1A"/>
          <w:sz w:val="22"/>
          <w:szCs w:val="22"/>
        </w:rPr>
      </w:pPr>
    </w:p>
    <w:p w14:paraId="445BC866" w14:textId="77777777" w:rsidR="005F5399" w:rsidRPr="004853FA" w:rsidRDefault="005F5399" w:rsidP="005F5399">
      <w:pPr>
        <w:rPr>
          <w:rFonts w:asciiTheme="minorHAnsi" w:hAnsiTheme="minorHAnsi" w:cstheme="minorHAnsi"/>
          <w:sz w:val="22"/>
          <w:szCs w:val="22"/>
        </w:rPr>
      </w:pPr>
      <w:r w:rsidRPr="004853FA">
        <w:rPr>
          <w:rFonts w:asciiTheme="minorHAnsi" w:hAnsiTheme="minorHAnsi" w:cstheme="minorHAnsi"/>
          <w:noProof/>
          <w:sz w:val="22"/>
          <w:szCs w:val="22"/>
        </w:rPr>
        <w:drawing>
          <wp:inline distT="0" distB="0" distL="0" distR="0" wp14:anchorId="217E47D1" wp14:editId="0495D427">
            <wp:extent cx="4572000" cy="2755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000" cy="2755900"/>
                    </a:xfrm>
                    <a:prstGeom prst="rect">
                      <a:avLst/>
                    </a:prstGeom>
                  </pic:spPr>
                </pic:pic>
              </a:graphicData>
            </a:graphic>
          </wp:inline>
        </w:drawing>
      </w:r>
    </w:p>
    <w:p w14:paraId="1023BB03" w14:textId="77777777" w:rsidR="005F5399" w:rsidRPr="004853FA" w:rsidRDefault="003B1C90" w:rsidP="005F5399">
      <w:pPr>
        <w:rPr>
          <w:rFonts w:asciiTheme="minorHAnsi" w:hAnsiTheme="minorHAnsi" w:cstheme="minorHAnsi"/>
          <w:sz w:val="22"/>
          <w:szCs w:val="22"/>
        </w:rPr>
      </w:pPr>
      <w:r w:rsidRPr="004853FA">
        <w:rPr>
          <w:rFonts w:asciiTheme="minorHAnsi" w:hAnsiTheme="minorHAnsi" w:cstheme="minorHAnsi"/>
          <w:sz w:val="22"/>
          <w:szCs w:val="22"/>
        </w:rPr>
        <w:t xml:space="preserve">Abb. 1: Weltweiter Umsatz Online Games in Mio EUR Quelle: </w:t>
      </w:r>
      <w:hyperlink r:id="rId7" w:history="1">
        <w:r w:rsidRPr="004853FA">
          <w:rPr>
            <w:rStyle w:val="Hyperlink"/>
            <w:rFonts w:asciiTheme="minorHAnsi" w:hAnsiTheme="minorHAnsi" w:cstheme="minorHAnsi"/>
            <w:sz w:val="22"/>
            <w:szCs w:val="22"/>
          </w:rPr>
          <w:t>https://de.statista.com/outlook/212/100/online-games/weltweit</w:t>
        </w:r>
      </w:hyperlink>
    </w:p>
    <w:p w14:paraId="45CA2048" w14:textId="77777777" w:rsidR="003B1C90" w:rsidRPr="004853FA" w:rsidRDefault="003B1C90" w:rsidP="005F5399">
      <w:pPr>
        <w:rPr>
          <w:rFonts w:asciiTheme="minorHAnsi" w:hAnsiTheme="minorHAnsi" w:cstheme="minorHAnsi"/>
          <w:sz w:val="22"/>
          <w:szCs w:val="22"/>
        </w:rPr>
      </w:pPr>
    </w:p>
    <w:p w14:paraId="76453ADA" w14:textId="77777777" w:rsidR="005F5399" w:rsidRPr="004853FA" w:rsidRDefault="005F5399" w:rsidP="005F5399">
      <w:pPr>
        <w:rPr>
          <w:rFonts w:asciiTheme="minorHAnsi" w:hAnsiTheme="minorHAnsi" w:cstheme="minorHAnsi"/>
          <w:sz w:val="22"/>
          <w:szCs w:val="22"/>
        </w:rPr>
      </w:pPr>
      <w:r w:rsidRPr="004853FA">
        <w:rPr>
          <w:rFonts w:asciiTheme="minorHAnsi" w:hAnsiTheme="minorHAnsi" w:cstheme="minorHAnsi"/>
          <w:sz w:val="22"/>
          <w:szCs w:val="22"/>
        </w:rPr>
        <w:t xml:space="preserve">Die Aspire group </w:t>
      </w:r>
      <w:r w:rsidR="003B1C90" w:rsidRPr="004853FA">
        <w:rPr>
          <w:rFonts w:asciiTheme="minorHAnsi" w:hAnsiTheme="minorHAnsi" w:cstheme="minorHAnsi"/>
          <w:sz w:val="22"/>
          <w:szCs w:val="22"/>
        </w:rPr>
        <w:t xml:space="preserve">folgt diesem Trend nicht nur, sondern ist mit konsequenter Strategie Vorreiter im Segment. Sie </w:t>
      </w:r>
      <w:r w:rsidRPr="004853FA">
        <w:rPr>
          <w:rFonts w:asciiTheme="minorHAnsi" w:hAnsiTheme="minorHAnsi" w:cstheme="minorHAnsi"/>
          <w:sz w:val="22"/>
          <w:szCs w:val="22"/>
        </w:rPr>
        <w:t xml:space="preserve">wies im ersten Quartal 2020 4,6% an Zuwächsen im Vergleich zum Vorjahr auf - danach sogar monatliche Mehrumsätze von über 20%. </w:t>
      </w:r>
      <w:r w:rsidR="003B1C90" w:rsidRPr="004853FA">
        <w:rPr>
          <w:rFonts w:asciiTheme="minorHAnsi" w:hAnsiTheme="minorHAnsi" w:cstheme="minorHAnsi"/>
          <w:sz w:val="22"/>
          <w:szCs w:val="22"/>
        </w:rPr>
        <w:t>Damit ist sie dem globalen Trend voraus</w:t>
      </w:r>
      <w:r w:rsidR="00A83376" w:rsidRPr="004853FA">
        <w:rPr>
          <w:rFonts w:asciiTheme="minorHAnsi" w:hAnsiTheme="minorHAnsi" w:cstheme="minorHAnsi"/>
          <w:sz w:val="22"/>
          <w:szCs w:val="22"/>
        </w:rPr>
        <w:t xml:space="preserve"> und setzt mit ihren Angeboten Standards</w:t>
      </w:r>
      <w:r w:rsidR="003B1C90" w:rsidRPr="004853FA">
        <w:rPr>
          <w:rFonts w:asciiTheme="minorHAnsi" w:hAnsiTheme="minorHAnsi" w:cstheme="minorHAnsi"/>
          <w:sz w:val="22"/>
          <w:szCs w:val="22"/>
        </w:rPr>
        <w:t>.</w:t>
      </w:r>
      <w:r w:rsidR="00A83376" w:rsidRPr="004853FA">
        <w:rPr>
          <w:rFonts w:asciiTheme="minorHAnsi" w:hAnsiTheme="minorHAnsi" w:cstheme="minorHAnsi"/>
          <w:sz w:val="22"/>
          <w:szCs w:val="22"/>
        </w:rPr>
        <w:t xml:space="preserve"> </w:t>
      </w:r>
    </w:p>
    <w:p w14:paraId="58EFAF16" w14:textId="77777777" w:rsidR="003B1C90" w:rsidRPr="004853FA" w:rsidRDefault="003B1C90" w:rsidP="005F5399">
      <w:pPr>
        <w:rPr>
          <w:rFonts w:asciiTheme="minorHAnsi" w:hAnsiTheme="minorHAnsi" w:cstheme="minorHAnsi"/>
          <w:sz w:val="22"/>
          <w:szCs w:val="22"/>
        </w:rPr>
      </w:pPr>
    </w:p>
    <w:p w14:paraId="7E1CBC6D" w14:textId="77777777" w:rsidR="005F5399" w:rsidRPr="004853FA" w:rsidRDefault="008F20A1" w:rsidP="005F5399">
      <w:pPr>
        <w:rPr>
          <w:rFonts w:asciiTheme="minorHAnsi" w:hAnsiTheme="minorHAnsi" w:cstheme="minorHAnsi"/>
          <w:sz w:val="22"/>
          <w:szCs w:val="22"/>
        </w:rPr>
      </w:pPr>
      <w:r w:rsidRPr="004853FA">
        <w:rPr>
          <w:rFonts w:asciiTheme="minorHAnsi" w:hAnsiTheme="minorHAnsi" w:cstheme="minorHAnsi"/>
          <w:sz w:val="22"/>
          <w:szCs w:val="22"/>
        </w:rPr>
        <w:t>Europa auf Platz zwei</w:t>
      </w:r>
      <w:r w:rsidR="008E339C">
        <w:rPr>
          <w:rFonts w:asciiTheme="minorHAnsi" w:hAnsiTheme="minorHAnsi" w:cstheme="minorHAnsi"/>
          <w:sz w:val="22"/>
          <w:szCs w:val="22"/>
        </w:rPr>
        <w:t>, China holt auf</w:t>
      </w:r>
    </w:p>
    <w:p w14:paraId="2F758ED8" w14:textId="77777777" w:rsidR="008E339C" w:rsidRDefault="005F5399" w:rsidP="005F5399">
      <w:pPr>
        <w:rPr>
          <w:rFonts w:asciiTheme="minorHAnsi" w:hAnsiTheme="minorHAnsi" w:cstheme="minorHAnsi"/>
          <w:sz w:val="22"/>
          <w:szCs w:val="22"/>
        </w:rPr>
      </w:pPr>
      <w:r w:rsidRPr="004853FA">
        <w:rPr>
          <w:rFonts w:asciiTheme="minorHAnsi" w:hAnsiTheme="minorHAnsi" w:cstheme="minorHAnsi"/>
          <w:sz w:val="22"/>
          <w:szCs w:val="22"/>
        </w:rPr>
        <w:t xml:space="preserve">Vergleicht man die weltweiten Märkte für Digitale Medien, ist </w:t>
      </w:r>
      <w:r w:rsidR="008E339C" w:rsidRPr="004853FA">
        <w:rPr>
          <w:rFonts w:asciiTheme="minorHAnsi" w:hAnsiTheme="minorHAnsi" w:cstheme="minorHAnsi"/>
          <w:sz w:val="22"/>
          <w:szCs w:val="22"/>
        </w:rPr>
        <w:t xml:space="preserve">Europa </w:t>
      </w:r>
      <w:r w:rsidR="008E339C">
        <w:rPr>
          <w:rFonts w:asciiTheme="minorHAnsi" w:hAnsiTheme="minorHAnsi" w:cstheme="minorHAnsi"/>
          <w:sz w:val="22"/>
          <w:szCs w:val="22"/>
        </w:rPr>
        <w:t>neben</w:t>
      </w:r>
      <w:r w:rsidRPr="004853FA">
        <w:rPr>
          <w:rFonts w:asciiTheme="minorHAnsi" w:hAnsiTheme="minorHAnsi" w:cstheme="minorHAnsi"/>
          <w:sz w:val="22"/>
          <w:szCs w:val="22"/>
        </w:rPr>
        <w:t xml:space="preserve"> de</w:t>
      </w:r>
      <w:r w:rsidR="008E339C">
        <w:rPr>
          <w:rFonts w:asciiTheme="minorHAnsi" w:hAnsiTheme="minorHAnsi" w:cstheme="minorHAnsi"/>
          <w:sz w:val="22"/>
          <w:szCs w:val="22"/>
        </w:rPr>
        <w:t>m</w:t>
      </w:r>
      <w:r w:rsidRPr="004853FA">
        <w:rPr>
          <w:rFonts w:asciiTheme="minorHAnsi" w:hAnsiTheme="minorHAnsi" w:cstheme="minorHAnsi"/>
          <w:sz w:val="22"/>
          <w:szCs w:val="22"/>
        </w:rPr>
        <w:t xml:space="preserve"> </w:t>
      </w:r>
      <w:r w:rsidR="008E339C">
        <w:rPr>
          <w:rFonts w:asciiTheme="minorHAnsi" w:hAnsiTheme="minorHAnsi" w:cstheme="minorHAnsi"/>
          <w:sz w:val="22"/>
          <w:szCs w:val="22"/>
        </w:rPr>
        <w:t>nordamerikanischen Markt</w:t>
      </w:r>
      <w:r w:rsidRPr="004853FA">
        <w:rPr>
          <w:rFonts w:asciiTheme="minorHAnsi" w:hAnsiTheme="minorHAnsi" w:cstheme="minorHAnsi"/>
          <w:sz w:val="22"/>
          <w:szCs w:val="22"/>
        </w:rPr>
        <w:t xml:space="preserve"> </w:t>
      </w:r>
      <w:r w:rsidR="008E339C">
        <w:rPr>
          <w:rFonts w:asciiTheme="minorHAnsi" w:hAnsiTheme="minorHAnsi" w:cstheme="minorHAnsi"/>
          <w:sz w:val="22"/>
          <w:szCs w:val="22"/>
        </w:rPr>
        <w:t>an zweiter Stelle.</w:t>
      </w:r>
      <w:r w:rsidRPr="004853FA">
        <w:rPr>
          <w:rFonts w:asciiTheme="minorHAnsi" w:hAnsiTheme="minorHAnsi" w:cstheme="minorHAnsi"/>
          <w:sz w:val="22"/>
          <w:szCs w:val="22"/>
        </w:rPr>
        <w:t xml:space="preserve"> </w:t>
      </w:r>
      <w:r w:rsidR="008E339C">
        <w:rPr>
          <w:rFonts w:asciiTheme="minorHAnsi" w:hAnsiTheme="minorHAnsi" w:cstheme="minorHAnsi"/>
          <w:sz w:val="22"/>
          <w:szCs w:val="22"/>
        </w:rPr>
        <w:t>Es weist</w:t>
      </w:r>
      <w:r w:rsidRPr="004853FA">
        <w:rPr>
          <w:rFonts w:asciiTheme="minorHAnsi" w:hAnsiTheme="minorHAnsi" w:cstheme="minorHAnsi"/>
          <w:sz w:val="22"/>
          <w:szCs w:val="22"/>
        </w:rPr>
        <w:t xml:space="preserve"> </w:t>
      </w:r>
      <w:r w:rsidR="008E339C">
        <w:rPr>
          <w:rFonts w:asciiTheme="minorHAnsi" w:hAnsiTheme="minorHAnsi" w:cstheme="minorHAnsi"/>
          <w:sz w:val="22"/>
          <w:szCs w:val="22"/>
        </w:rPr>
        <w:t>ein</w:t>
      </w:r>
      <w:r w:rsidRPr="004853FA">
        <w:rPr>
          <w:rFonts w:asciiTheme="minorHAnsi" w:hAnsiTheme="minorHAnsi" w:cstheme="minorHAnsi"/>
          <w:sz w:val="22"/>
          <w:szCs w:val="22"/>
        </w:rPr>
        <w:t xml:space="preserve"> </w:t>
      </w:r>
      <w:hyperlink r:id="rId8" w:history="1">
        <w:r w:rsidRPr="004853FA">
          <w:rPr>
            <w:rStyle w:val="Hyperlink"/>
            <w:rFonts w:asciiTheme="minorHAnsi" w:hAnsiTheme="minorHAnsi" w:cstheme="minorHAnsi"/>
            <w:sz w:val="22"/>
            <w:szCs w:val="22"/>
          </w:rPr>
          <w:t>Marktvolumen von 30,7 Milliarden Dollar 2019</w:t>
        </w:r>
      </w:hyperlink>
      <w:r w:rsidR="008E339C">
        <w:rPr>
          <w:rFonts w:asciiTheme="minorHAnsi" w:hAnsiTheme="minorHAnsi" w:cstheme="minorHAnsi"/>
          <w:sz w:val="22"/>
          <w:szCs w:val="22"/>
        </w:rPr>
        <w:t xml:space="preserve"> auf. </w:t>
      </w:r>
      <w:r w:rsidRPr="004853FA">
        <w:rPr>
          <w:rFonts w:asciiTheme="minorHAnsi" w:hAnsiTheme="minorHAnsi" w:cstheme="minorHAnsi"/>
          <w:sz w:val="22"/>
          <w:szCs w:val="22"/>
        </w:rPr>
        <w:t xml:space="preserve">Videospiele </w:t>
      </w:r>
      <w:r w:rsidR="008E339C">
        <w:rPr>
          <w:rFonts w:asciiTheme="minorHAnsi" w:hAnsiTheme="minorHAnsi" w:cstheme="minorHAnsi"/>
          <w:sz w:val="22"/>
          <w:szCs w:val="22"/>
        </w:rPr>
        <w:t>und</w:t>
      </w:r>
      <w:r w:rsidRPr="004853FA">
        <w:rPr>
          <w:rFonts w:asciiTheme="minorHAnsi" w:hAnsiTheme="minorHAnsi" w:cstheme="minorHAnsi"/>
          <w:sz w:val="22"/>
          <w:szCs w:val="22"/>
        </w:rPr>
        <w:t xml:space="preserve"> </w:t>
      </w:r>
      <w:r w:rsidR="008F20A1" w:rsidRPr="004853FA">
        <w:rPr>
          <w:rFonts w:asciiTheme="minorHAnsi" w:hAnsiTheme="minorHAnsi" w:cstheme="minorHAnsi"/>
          <w:sz w:val="22"/>
          <w:szCs w:val="22"/>
        </w:rPr>
        <w:t xml:space="preserve">das Segment der </w:t>
      </w:r>
      <w:r w:rsidRPr="004853FA">
        <w:rPr>
          <w:rFonts w:asciiTheme="minorHAnsi" w:hAnsiTheme="minorHAnsi" w:cstheme="minorHAnsi"/>
          <w:sz w:val="22"/>
          <w:szCs w:val="22"/>
        </w:rPr>
        <w:t>Online Spiele</w:t>
      </w:r>
      <w:r w:rsidR="008E339C">
        <w:rPr>
          <w:rFonts w:asciiTheme="minorHAnsi" w:hAnsiTheme="minorHAnsi" w:cstheme="minorHAnsi"/>
          <w:sz w:val="22"/>
          <w:szCs w:val="22"/>
        </w:rPr>
        <w:t xml:space="preserve"> machen davon den Hauptbestandteil aus</w:t>
      </w:r>
      <w:r w:rsidRPr="004853FA">
        <w:rPr>
          <w:rFonts w:asciiTheme="minorHAnsi" w:hAnsiTheme="minorHAnsi" w:cstheme="minorHAnsi"/>
          <w:sz w:val="22"/>
          <w:szCs w:val="22"/>
        </w:rPr>
        <w:t xml:space="preserve">. </w:t>
      </w:r>
      <w:r w:rsidR="008E339C">
        <w:rPr>
          <w:rFonts w:asciiTheme="minorHAnsi" w:hAnsiTheme="minorHAnsi" w:cstheme="minorHAnsi"/>
          <w:sz w:val="22"/>
          <w:szCs w:val="22"/>
        </w:rPr>
        <w:t>Langfristig</w:t>
      </w:r>
      <w:r w:rsidR="008F20A1" w:rsidRPr="004853FA">
        <w:rPr>
          <w:rFonts w:asciiTheme="minorHAnsi" w:hAnsiTheme="minorHAnsi" w:cstheme="minorHAnsi"/>
          <w:sz w:val="22"/>
          <w:szCs w:val="22"/>
        </w:rPr>
        <w:t xml:space="preserve"> </w:t>
      </w:r>
      <w:r w:rsidRPr="004853FA">
        <w:rPr>
          <w:rFonts w:asciiTheme="minorHAnsi" w:hAnsiTheme="minorHAnsi" w:cstheme="minorHAnsi"/>
          <w:sz w:val="22"/>
          <w:szCs w:val="22"/>
        </w:rPr>
        <w:t xml:space="preserve">wird </w:t>
      </w:r>
      <w:r w:rsidR="008E339C">
        <w:rPr>
          <w:rFonts w:asciiTheme="minorHAnsi" w:hAnsiTheme="minorHAnsi" w:cstheme="minorHAnsi"/>
          <w:sz w:val="22"/>
          <w:szCs w:val="22"/>
        </w:rPr>
        <w:t xml:space="preserve">prognostiziert, dass </w:t>
      </w:r>
      <w:r w:rsidRPr="004853FA">
        <w:rPr>
          <w:rFonts w:asciiTheme="minorHAnsi" w:hAnsiTheme="minorHAnsi" w:cstheme="minorHAnsi"/>
          <w:sz w:val="22"/>
          <w:szCs w:val="22"/>
        </w:rPr>
        <w:t>d</w:t>
      </w:r>
      <w:r w:rsidR="008E339C">
        <w:rPr>
          <w:rFonts w:asciiTheme="minorHAnsi" w:hAnsiTheme="minorHAnsi" w:cstheme="minorHAnsi"/>
          <w:sz w:val="22"/>
          <w:szCs w:val="22"/>
        </w:rPr>
        <w:t>as riesige Potentialvolumen des</w:t>
      </w:r>
      <w:r w:rsidRPr="004853FA">
        <w:rPr>
          <w:rFonts w:asciiTheme="minorHAnsi" w:hAnsiTheme="minorHAnsi" w:cstheme="minorHAnsi"/>
          <w:sz w:val="22"/>
          <w:szCs w:val="22"/>
        </w:rPr>
        <w:t xml:space="preserve"> chinesische Markt</w:t>
      </w:r>
      <w:r w:rsidR="008E339C">
        <w:rPr>
          <w:rFonts w:asciiTheme="minorHAnsi" w:hAnsiTheme="minorHAnsi" w:cstheme="minorHAnsi"/>
          <w:sz w:val="22"/>
          <w:szCs w:val="22"/>
        </w:rPr>
        <w:t>es</w:t>
      </w:r>
      <w:r w:rsidRPr="004853FA">
        <w:rPr>
          <w:rFonts w:asciiTheme="minorHAnsi" w:hAnsiTheme="minorHAnsi" w:cstheme="minorHAnsi"/>
          <w:sz w:val="22"/>
          <w:szCs w:val="22"/>
        </w:rPr>
        <w:t xml:space="preserve"> an Relevanz </w:t>
      </w:r>
      <w:r w:rsidR="008E339C">
        <w:rPr>
          <w:rFonts w:asciiTheme="minorHAnsi" w:hAnsiTheme="minorHAnsi" w:cstheme="minorHAnsi"/>
          <w:sz w:val="22"/>
          <w:szCs w:val="22"/>
        </w:rPr>
        <w:t>zunimmt. Annahmen bestehen, dass China damit an erste Stelle rücken wird</w:t>
      </w:r>
      <w:r w:rsidRPr="004853FA">
        <w:rPr>
          <w:rFonts w:asciiTheme="minorHAnsi" w:hAnsiTheme="minorHAnsi" w:cstheme="minorHAnsi"/>
          <w:sz w:val="22"/>
          <w:szCs w:val="22"/>
        </w:rPr>
        <w:t xml:space="preserve">. </w:t>
      </w:r>
    </w:p>
    <w:p w14:paraId="4BF5C803" w14:textId="77777777" w:rsidR="008E339C" w:rsidRDefault="008E339C" w:rsidP="005F5399">
      <w:pPr>
        <w:rPr>
          <w:rFonts w:asciiTheme="minorHAnsi" w:hAnsiTheme="minorHAnsi" w:cstheme="minorHAnsi"/>
          <w:sz w:val="22"/>
          <w:szCs w:val="22"/>
        </w:rPr>
      </w:pPr>
    </w:p>
    <w:p w14:paraId="2F07093C" w14:textId="77777777" w:rsidR="00912DD9" w:rsidRPr="004853FA" w:rsidRDefault="00A83376" w:rsidP="005F5399">
      <w:pPr>
        <w:rPr>
          <w:rFonts w:asciiTheme="minorHAnsi" w:hAnsiTheme="minorHAnsi" w:cstheme="minorHAnsi"/>
          <w:sz w:val="22"/>
          <w:szCs w:val="22"/>
        </w:rPr>
      </w:pPr>
      <w:r w:rsidRPr="004853FA">
        <w:rPr>
          <w:rFonts w:asciiTheme="minorHAnsi" w:hAnsiTheme="minorHAnsi" w:cstheme="minorHAnsi"/>
          <w:sz w:val="22"/>
          <w:szCs w:val="22"/>
        </w:rPr>
        <w:t xml:space="preserve">Die Aspire Gruppe </w:t>
      </w:r>
      <w:r w:rsidR="00057E1D" w:rsidRPr="004853FA">
        <w:rPr>
          <w:rFonts w:asciiTheme="minorHAnsi" w:hAnsiTheme="minorHAnsi" w:cstheme="minorHAnsi"/>
          <w:sz w:val="22"/>
          <w:szCs w:val="22"/>
        </w:rPr>
        <w:t xml:space="preserve">ist </w:t>
      </w:r>
      <w:r w:rsidR="008E339C">
        <w:rPr>
          <w:rFonts w:asciiTheme="minorHAnsi" w:hAnsiTheme="minorHAnsi" w:cstheme="minorHAnsi"/>
          <w:sz w:val="22"/>
          <w:szCs w:val="22"/>
        </w:rPr>
        <w:t xml:space="preserve">derzeit unter anderem </w:t>
      </w:r>
      <w:r w:rsidR="00057E1D" w:rsidRPr="004853FA">
        <w:rPr>
          <w:rFonts w:asciiTheme="minorHAnsi" w:hAnsiTheme="minorHAnsi" w:cstheme="minorHAnsi"/>
          <w:sz w:val="22"/>
          <w:szCs w:val="22"/>
        </w:rPr>
        <w:t xml:space="preserve">in </w:t>
      </w:r>
      <w:r w:rsidR="00BE2DFE" w:rsidRPr="004853FA">
        <w:rPr>
          <w:rFonts w:asciiTheme="minorHAnsi" w:hAnsiTheme="minorHAnsi" w:cstheme="minorHAnsi"/>
          <w:sz w:val="22"/>
          <w:szCs w:val="22"/>
        </w:rPr>
        <w:t xml:space="preserve">regulierten Märkten wie Dänemark, Gibraltar, Irland, Malta, Portugal, Rumänien, Schweden, den UK aber auch den USA aktiv. </w:t>
      </w:r>
      <w:r w:rsidR="008E339C">
        <w:rPr>
          <w:rFonts w:asciiTheme="minorHAnsi" w:hAnsiTheme="minorHAnsi" w:cstheme="minorHAnsi"/>
          <w:sz w:val="22"/>
          <w:szCs w:val="22"/>
        </w:rPr>
        <w:t xml:space="preserve">Sie setzt dabei konsequent auf Expansion. </w:t>
      </w:r>
      <w:r w:rsidR="00BE2DFE" w:rsidRPr="004853FA">
        <w:rPr>
          <w:rFonts w:asciiTheme="minorHAnsi" w:hAnsiTheme="minorHAnsi" w:cstheme="minorHAnsi"/>
          <w:sz w:val="22"/>
          <w:szCs w:val="22"/>
        </w:rPr>
        <w:t xml:space="preserve">Als NASDAQ Unternehmen </w:t>
      </w:r>
      <w:r w:rsidRPr="004853FA">
        <w:rPr>
          <w:rFonts w:asciiTheme="minorHAnsi" w:hAnsiTheme="minorHAnsi" w:cstheme="minorHAnsi"/>
          <w:sz w:val="22"/>
          <w:szCs w:val="22"/>
        </w:rPr>
        <w:t xml:space="preserve">sorgt </w:t>
      </w:r>
      <w:r w:rsidR="00BE2DFE" w:rsidRPr="004853FA">
        <w:rPr>
          <w:rFonts w:asciiTheme="minorHAnsi" w:hAnsiTheme="minorHAnsi" w:cstheme="minorHAnsi"/>
          <w:sz w:val="22"/>
          <w:szCs w:val="22"/>
        </w:rPr>
        <w:t xml:space="preserve">Aspire global </w:t>
      </w:r>
      <w:r w:rsidRPr="004853FA">
        <w:rPr>
          <w:rFonts w:asciiTheme="minorHAnsi" w:hAnsiTheme="minorHAnsi" w:cstheme="minorHAnsi"/>
          <w:sz w:val="22"/>
          <w:szCs w:val="22"/>
        </w:rPr>
        <w:t>mit</w:t>
      </w:r>
      <w:r w:rsidR="008F20A1" w:rsidRPr="004853FA">
        <w:rPr>
          <w:rFonts w:asciiTheme="minorHAnsi" w:hAnsiTheme="minorHAnsi" w:cstheme="minorHAnsi"/>
          <w:sz w:val="22"/>
          <w:szCs w:val="22"/>
        </w:rPr>
        <w:t xml:space="preserve"> eigenen Produkten und </w:t>
      </w:r>
      <w:r w:rsidR="00912DD9" w:rsidRPr="004853FA">
        <w:rPr>
          <w:rFonts w:asciiTheme="minorHAnsi" w:hAnsiTheme="minorHAnsi" w:cstheme="minorHAnsi"/>
          <w:sz w:val="22"/>
          <w:szCs w:val="22"/>
        </w:rPr>
        <w:t xml:space="preserve">schlüsselfertigen </w:t>
      </w:r>
      <w:r w:rsidR="008F20A1" w:rsidRPr="004853FA">
        <w:rPr>
          <w:rFonts w:asciiTheme="minorHAnsi" w:hAnsiTheme="minorHAnsi" w:cstheme="minorHAnsi"/>
          <w:sz w:val="22"/>
          <w:szCs w:val="22"/>
        </w:rPr>
        <w:t xml:space="preserve">White Label </w:t>
      </w:r>
      <w:r w:rsidR="00912DD9" w:rsidRPr="004853FA">
        <w:rPr>
          <w:rFonts w:asciiTheme="minorHAnsi" w:hAnsiTheme="minorHAnsi" w:cstheme="minorHAnsi"/>
          <w:sz w:val="22"/>
          <w:szCs w:val="22"/>
        </w:rPr>
        <w:t>Konzepten</w:t>
      </w:r>
      <w:r w:rsidR="008F20A1" w:rsidRPr="004853FA">
        <w:rPr>
          <w:rFonts w:asciiTheme="minorHAnsi" w:hAnsiTheme="minorHAnsi" w:cstheme="minorHAnsi"/>
          <w:sz w:val="22"/>
          <w:szCs w:val="22"/>
        </w:rPr>
        <w:t xml:space="preserve"> </w:t>
      </w:r>
      <w:r w:rsidR="00912DD9" w:rsidRPr="004853FA">
        <w:rPr>
          <w:rFonts w:asciiTheme="minorHAnsi" w:hAnsiTheme="minorHAnsi" w:cstheme="minorHAnsi"/>
          <w:sz w:val="22"/>
          <w:szCs w:val="22"/>
        </w:rPr>
        <w:t xml:space="preserve">für zeitgemäße Präsenz. Dabei legt die Gruppe vor allem Wert auf Nachhaltigkeit und die Gestaltung verantwortungsbewusster Angebote im Sinn der Konsumenten. </w:t>
      </w:r>
    </w:p>
    <w:p w14:paraId="3BFA1D16" w14:textId="77777777" w:rsidR="00A83376" w:rsidRPr="005206D4" w:rsidRDefault="00A83376" w:rsidP="005F5399">
      <w:pPr>
        <w:rPr>
          <w:rFonts w:asciiTheme="minorHAnsi" w:hAnsiTheme="minorHAnsi" w:cstheme="minorHAnsi"/>
          <w:sz w:val="22"/>
          <w:szCs w:val="22"/>
        </w:rPr>
      </w:pPr>
    </w:p>
    <w:p w14:paraId="053AAA1D" w14:textId="77777777" w:rsidR="004853FA" w:rsidRPr="004853FA" w:rsidRDefault="005F5399" w:rsidP="005F5399">
      <w:pPr>
        <w:rPr>
          <w:rFonts w:asciiTheme="minorHAnsi" w:hAnsiTheme="minorHAnsi" w:cstheme="minorHAnsi"/>
          <w:sz w:val="22"/>
          <w:szCs w:val="22"/>
        </w:rPr>
      </w:pPr>
      <w:r w:rsidRPr="004853FA">
        <w:rPr>
          <w:rFonts w:asciiTheme="minorHAnsi" w:hAnsiTheme="minorHAnsi" w:cstheme="minorHAnsi"/>
          <w:sz w:val="22"/>
          <w:szCs w:val="22"/>
        </w:rPr>
        <w:t>Verändertes Userverhalten</w:t>
      </w:r>
      <w:r w:rsidR="00BE2DFE" w:rsidRPr="004853FA">
        <w:rPr>
          <w:rFonts w:asciiTheme="minorHAnsi" w:hAnsiTheme="minorHAnsi" w:cstheme="minorHAnsi"/>
          <w:sz w:val="22"/>
          <w:szCs w:val="22"/>
        </w:rPr>
        <w:t xml:space="preserve"> </w:t>
      </w:r>
    </w:p>
    <w:p w14:paraId="369CDB33" w14:textId="77777777" w:rsidR="004853FA" w:rsidRPr="004853FA" w:rsidRDefault="008E339C" w:rsidP="005F5399">
      <w:pPr>
        <w:rPr>
          <w:rFonts w:asciiTheme="minorHAnsi" w:hAnsiTheme="minorHAnsi" w:cstheme="minorHAnsi"/>
          <w:sz w:val="22"/>
          <w:szCs w:val="22"/>
        </w:rPr>
      </w:pPr>
      <w:r>
        <w:rPr>
          <w:rFonts w:asciiTheme="minorHAnsi" w:hAnsiTheme="minorHAnsi" w:cstheme="minorHAnsi"/>
          <w:sz w:val="22"/>
          <w:szCs w:val="22"/>
        </w:rPr>
        <w:lastRenderedPageBreak/>
        <w:t>Aspire berücksichtigt in seiner Strategie die Flexibilität, die durch individuell anpassbare Lösungen dem veränderten Userverhalten entgegenkommt. Denn der</w:t>
      </w:r>
      <w:r w:rsidR="004853FA" w:rsidRPr="004853FA">
        <w:rPr>
          <w:rFonts w:asciiTheme="minorHAnsi" w:hAnsiTheme="minorHAnsi" w:cstheme="minorHAnsi"/>
          <w:sz w:val="22"/>
          <w:szCs w:val="22"/>
        </w:rPr>
        <w:t xml:space="preserve"> typische Online Gamer </w:t>
      </w:r>
      <w:r>
        <w:rPr>
          <w:rFonts w:asciiTheme="minorHAnsi" w:hAnsiTheme="minorHAnsi" w:cstheme="minorHAnsi"/>
          <w:sz w:val="22"/>
          <w:szCs w:val="22"/>
        </w:rPr>
        <w:t>entspricht</w:t>
      </w:r>
      <w:r w:rsidR="004853FA" w:rsidRPr="004853FA">
        <w:rPr>
          <w:rFonts w:asciiTheme="minorHAnsi" w:hAnsiTheme="minorHAnsi" w:cstheme="minorHAnsi"/>
          <w:sz w:val="22"/>
          <w:szCs w:val="22"/>
        </w:rPr>
        <w:t xml:space="preserve"> nicht mehr gängigen Klischees. Laut </w:t>
      </w:r>
      <w:hyperlink r:id="rId9" w:anchor="market-age" w:history="1">
        <w:r w:rsidR="004853FA" w:rsidRPr="003D5547">
          <w:rPr>
            <w:rStyle w:val="Hyperlink"/>
            <w:rFonts w:asciiTheme="minorHAnsi" w:hAnsiTheme="minorHAnsi" w:cstheme="minorHAnsi"/>
            <w:sz w:val="22"/>
            <w:szCs w:val="22"/>
          </w:rPr>
          <w:t>statista.de ist i</w:t>
        </w:r>
        <w:r w:rsidR="00790A56" w:rsidRPr="003D5547">
          <w:rPr>
            <w:rStyle w:val="Hyperlink"/>
            <w:rFonts w:asciiTheme="minorHAnsi" w:hAnsiTheme="minorHAnsi" w:cstheme="minorHAnsi"/>
            <w:sz w:val="22"/>
            <w:szCs w:val="22"/>
          </w:rPr>
          <w:t xml:space="preserve">m Jahr 2019 </w:t>
        </w:r>
        <w:r w:rsidR="004853FA" w:rsidRPr="003D5547">
          <w:rPr>
            <w:rStyle w:val="Hyperlink"/>
            <w:rFonts w:asciiTheme="minorHAnsi" w:hAnsiTheme="minorHAnsi" w:cstheme="minorHAnsi"/>
            <w:sz w:val="22"/>
            <w:szCs w:val="22"/>
          </w:rPr>
          <w:t>mehr als</w:t>
        </w:r>
        <w:r w:rsidR="00790A56" w:rsidRPr="003D5547">
          <w:rPr>
            <w:rStyle w:val="Hyperlink"/>
            <w:rFonts w:asciiTheme="minorHAnsi" w:hAnsiTheme="minorHAnsi" w:cstheme="minorHAnsi"/>
            <w:sz w:val="22"/>
            <w:szCs w:val="22"/>
          </w:rPr>
          <w:t xml:space="preserve"> </w:t>
        </w:r>
        <w:r w:rsidR="004853FA" w:rsidRPr="003D5547">
          <w:rPr>
            <w:rStyle w:val="Hyperlink"/>
            <w:rFonts w:asciiTheme="minorHAnsi" w:hAnsiTheme="minorHAnsi" w:cstheme="minorHAnsi"/>
            <w:sz w:val="22"/>
            <w:szCs w:val="22"/>
          </w:rPr>
          <w:t>jeder dritte</w:t>
        </w:r>
        <w:r w:rsidR="00790A56" w:rsidRPr="003D5547">
          <w:rPr>
            <w:rStyle w:val="Hyperlink"/>
            <w:rFonts w:asciiTheme="minorHAnsi" w:hAnsiTheme="minorHAnsi" w:cstheme="minorHAnsi"/>
            <w:sz w:val="22"/>
            <w:szCs w:val="22"/>
          </w:rPr>
          <w:t xml:space="preserve"> Nutzer </w:t>
        </w:r>
        <w:r w:rsidR="003D5547">
          <w:rPr>
            <w:rStyle w:val="Hyperlink"/>
            <w:rFonts w:asciiTheme="minorHAnsi" w:hAnsiTheme="minorHAnsi" w:cstheme="minorHAnsi"/>
            <w:sz w:val="22"/>
            <w:szCs w:val="22"/>
          </w:rPr>
          <w:t xml:space="preserve">global </w:t>
        </w:r>
        <w:r w:rsidR="004853FA" w:rsidRPr="003D5547">
          <w:rPr>
            <w:rStyle w:val="Hyperlink"/>
            <w:rFonts w:asciiTheme="minorHAnsi" w:hAnsiTheme="minorHAnsi" w:cstheme="minorHAnsi"/>
            <w:sz w:val="22"/>
            <w:szCs w:val="22"/>
          </w:rPr>
          <w:t xml:space="preserve">zwischen </w:t>
        </w:r>
        <w:r w:rsidR="00790A56" w:rsidRPr="003D5547">
          <w:rPr>
            <w:rStyle w:val="Hyperlink"/>
            <w:rFonts w:asciiTheme="minorHAnsi" w:hAnsiTheme="minorHAnsi" w:cstheme="minorHAnsi"/>
            <w:sz w:val="22"/>
            <w:szCs w:val="22"/>
          </w:rPr>
          <w:t>25</w:t>
        </w:r>
        <w:r w:rsidR="004853FA" w:rsidRPr="003D5547">
          <w:rPr>
            <w:rStyle w:val="Hyperlink"/>
            <w:rFonts w:asciiTheme="minorHAnsi" w:hAnsiTheme="minorHAnsi" w:cstheme="minorHAnsi"/>
            <w:sz w:val="22"/>
            <w:szCs w:val="22"/>
          </w:rPr>
          <w:t xml:space="preserve"> und </w:t>
        </w:r>
        <w:r w:rsidR="00790A56" w:rsidRPr="003D5547">
          <w:rPr>
            <w:rStyle w:val="Hyperlink"/>
            <w:rFonts w:asciiTheme="minorHAnsi" w:hAnsiTheme="minorHAnsi" w:cstheme="minorHAnsi"/>
            <w:sz w:val="22"/>
            <w:szCs w:val="22"/>
          </w:rPr>
          <w:t>34 Jahre</w:t>
        </w:r>
        <w:r w:rsidR="004853FA" w:rsidRPr="003D5547">
          <w:rPr>
            <w:rStyle w:val="Hyperlink"/>
            <w:rFonts w:asciiTheme="minorHAnsi" w:hAnsiTheme="minorHAnsi" w:cstheme="minorHAnsi"/>
            <w:sz w:val="22"/>
            <w:szCs w:val="22"/>
          </w:rPr>
          <w:t>n</w:t>
        </w:r>
        <w:r w:rsidR="00790A56" w:rsidRPr="003D5547">
          <w:rPr>
            <w:rStyle w:val="Hyperlink"/>
            <w:rFonts w:asciiTheme="minorHAnsi" w:hAnsiTheme="minorHAnsi" w:cstheme="minorHAnsi"/>
            <w:sz w:val="22"/>
            <w:szCs w:val="22"/>
          </w:rPr>
          <w:t xml:space="preserve"> alt</w:t>
        </w:r>
        <w:r w:rsidR="004853FA" w:rsidRPr="003D5547">
          <w:rPr>
            <w:rStyle w:val="Hyperlink"/>
            <w:rFonts w:asciiTheme="minorHAnsi" w:hAnsiTheme="minorHAnsi" w:cstheme="minorHAnsi"/>
            <w:sz w:val="22"/>
            <w:szCs w:val="22"/>
          </w:rPr>
          <w:t xml:space="preserve">. </w:t>
        </w:r>
        <w:r w:rsidR="003D5547" w:rsidRPr="003D5547">
          <w:rPr>
            <w:rStyle w:val="Hyperlink"/>
            <w:rFonts w:asciiTheme="minorHAnsi" w:hAnsiTheme="minorHAnsi" w:cstheme="minorHAnsi"/>
            <w:sz w:val="22"/>
            <w:szCs w:val="22"/>
          </w:rPr>
          <w:t>Der Anteil der 35-44jährigen liegt sogar über dem der Altersgruppe zwischen 18 und 24 Jahren.</w:t>
        </w:r>
      </w:hyperlink>
      <w:r w:rsidR="003D5547">
        <w:rPr>
          <w:rFonts w:asciiTheme="minorHAnsi" w:hAnsiTheme="minorHAnsi" w:cstheme="minorHAnsi"/>
          <w:sz w:val="22"/>
          <w:szCs w:val="22"/>
        </w:rPr>
        <w:t xml:space="preserve"> Zudem wächst die Marktdurchdringungsrate von Internet Zugängen - die weltweite Verfügbarkeit von Online Angeboten steigt ebenso, wie die möglichen Übermittlungsraten. </w:t>
      </w:r>
      <w:r w:rsidR="004853FA" w:rsidRPr="004853FA">
        <w:rPr>
          <w:rFonts w:asciiTheme="minorHAnsi" w:hAnsiTheme="minorHAnsi" w:cstheme="minorHAnsi"/>
          <w:sz w:val="22"/>
          <w:szCs w:val="22"/>
        </w:rPr>
        <w:t xml:space="preserve">Wie die unten angefügte Grafik zeigt, sind die Zuwächse auf den einzelnen Spieler gerechnet enorm. Im Segment der Online Games wird die Anzahl der Nutzer im Jahr 2025 laut Prognose 1.076,4 Mio. betragen. </w:t>
      </w:r>
    </w:p>
    <w:p w14:paraId="3A920400" w14:textId="77777777" w:rsidR="004853FA" w:rsidRPr="004853FA" w:rsidRDefault="004853FA" w:rsidP="005F5399">
      <w:pPr>
        <w:rPr>
          <w:rFonts w:asciiTheme="minorHAnsi" w:hAnsiTheme="minorHAnsi" w:cstheme="minorHAnsi"/>
          <w:sz w:val="22"/>
          <w:szCs w:val="22"/>
        </w:rPr>
      </w:pPr>
    </w:p>
    <w:p w14:paraId="0EB050FD" w14:textId="77777777" w:rsidR="004853FA" w:rsidRPr="004853FA" w:rsidRDefault="004853FA" w:rsidP="004853FA">
      <w:pPr>
        <w:rPr>
          <w:rFonts w:asciiTheme="minorHAnsi" w:hAnsiTheme="minorHAnsi" w:cstheme="minorHAnsi"/>
          <w:sz w:val="22"/>
          <w:szCs w:val="22"/>
        </w:rPr>
      </w:pPr>
      <w:r w:rsidRPr="004853FA">
        <w:rPr>
          <w:rFonts w:asciiTheme="minorHAnsi" w:hAnsiTheme="minorHAnsi" w:cstheme="minorHAnsi"/>
          <w:noProof/>
          <w:sz w:val="22"/>
          <w:szCs w:val="22"/>
        </w:rPr>
        <w:drawing>
          <wp:inline distT="0" distB="0" distL="0" distR="0" wp14:anchorId="02F88AA1" wp14:editId="13EAE748">
            <wp:extent cx="4584700" cy="2755900"/>
            <wp:effectExtent l="0" t="0" r="0" b="0"/>
            <wp:docPr id="2" name="Grafik 2"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enthält.&#10;&#10;Automatisch generierte Beschreibung"/>
                    <pic:cNvPicPr/>
                  </pic:nvPicPr>
                  <pic:blipFill>
                    <a:blip r:embed="rId10"/>
                    <a:stretch>
                      <a:fillRect/>
                    </a:stretch>
                  </pic:blipFill>
                  <pic:spPr>
                    <a:xfrm>
                      <a:off x="0" y="0"/>
                      <a:ext cx="4584700" cy="2755900"/>
                    </a:xfrm>
                    <a:prstGeom prst="rect">
                      <a:avLst/>
                    </a:prstGeom>
                  </pic:spPr>
                </pic:pic>
              </a:graphicData>
            </a:graphic>
          </wp:inline>
        </w:drawing>
      </w:r>
    </w:p>
    <w:p w14:paraId="1D1FBD59" w14:textId="77777777" w:rsidR="004853FA" w:rsidRPr="004853FA" w:rsidRDefault="004853FA" w:rsidP="004853FA">
      <w:pPr>
        <w:rPr>
          <w:rFonts w:asciiTheme="minorHAnsi" w:hAnsiTheme="minorHAnsi" w:cstheme="minorHAnsi"/>
          <w:sz w:val="22"/>
          <w:szCs w:val="22"/>
        </w:rPr>
      </w:pPr>
      <w:r w:rsidRPr="004853FA">
        <w:rPr>
          <w:rFonts w:asciiTheme="minorHAnsi" w:hAnsiTheme="minorHAnsi" w:cstheme="minorHAnsi"/>
          <w:sz w:val="22"/>
          <w:szCs w:val="22"/>
        </w:rPr>
        <w:t xml:space="preserve">Abb. 2: Anzahl Nutzer global von Online Games in Mio Quelle: </w:t>
      </w:r>
      <w:hyperlink r:id="rId11" w:history="1">
        <w:r w:rsidRPr="004853FA">
          <w:rPr>
            <w:rStyle w:val="Hyperlink"/>
            <w:rFonts w:asciiTheme="minorHAnsi" w:hAnsiTheme="minorHAnsi" w:cstheme="minorHAnsi"/>
            <w:sz w:val="22"/>
            <w:szCs w:val="22"/>
          </w:rPr>
          <w:t>https://de.statista.com/outlook/212/100/online-games/weltweit</w:t>
        </w:r>
      </w:hyperlink>
    </w:p>
    <w:p w14:paraId="65AFC517" w14:textId="77777777" w:rsidR="004853FA" w:rsidRPr="004853FA" w:rsidRDefault="004853FA" w:rsidP="005F5399">
      <w:pPr>
        <w:rPr>
          <w:rFonts w:asciiTheme="minorHAnsi" w:hAnsiTheme="minorHAnsi" w:cstheme="minorHAnsi"/>
          <w:sz w:val="22"/>
          <w:szCs w:val="22"/>
        </w:rPr>
      </w:pPr>
    </w:p>
    <w:p w14:paraId="2328E151" w14:textId="77777777" w:rsidR="004853FA" w:rsidRPr="004853FA" w:rsidRDefault="004853FA" w:rsidP="005F5399">
      <w:pPr>
        <w:rPr>
          <w:rFonts w:asciiTheme="minorHAnsi" w:hAnsiTheme="minorHAnsi" w:cstheme="minorHAnsi"/>
          <w:sz w:val="22"/>
          <w:szCs w:val="22"/>
        </w:rPr>
      </w:pPr>
      <w:r w:rsidRPr="004853FA">
        <w:rPr>
          <w:rFonts w:asciiTheme="minorHAnsi" w:hAnsiTheme="minorHAnsi" w:cstheme="minorHAnsi"/>
          <w:sz w:val="22"/>
          <w:szCs w:val="22"/>
        </w:rPr>
        <w:t>Dynamik und Innovation im igaming Sektor</w:t>
      </w:r>
    </w:p>
    <w:p w14:paraId="7258B1B8" w14:textId="77777777" w:rsidR="003D5547" w:rsidRDefault="004853FA" w:rsidP="005F5399">
      <w:pPr>
        <w:rPr>
          <w:rFonts w:asciiTheme="minorHAnsi" w:hAnsiTheme="minorHAnsi" w:cstheme="minorHAnsi"/>
          <w:sz w:val="22"/>
          <w:szCs w:val="22"/>
        </w:rPr>
      </w:pPr>
      <w:r w:rsidRPr="004853FA">
        <w:rPr>
          <w:rFonts w:asciiTheme="minorHAnsi" w:hAnsiTheme="minorHAnsi" w:cstheme="minorHAnsi"/>
          <w:sz w:val="22"/>
          <w:szCs w:val="22"/>
        </w:rPr>
        <w:t xml:space="preserve">All diese Entwicklungen </w:t>
      </w:r>
      <w:r w:rsidR="003D5547">
        <w:rPr>
          <w:rFonts w:asciiTheme="minorHAnsi" w:hAnsiTheme="minorHAnsi" w:cstheme="minorHAnsi"/>
          <w:sz w:val="22"/>
          <w:szCs w:val="22"/>
        </w:rPr>
        <w:t xml:space="preserve">versprechen </w:t>
      </w:r>
      <w:r w:rsidR="0001531B">
        <w:rPr>
          <w:rFonts w:asciiTheme="minorHAnsi" w:hAnsiTheme="minorHAnsi" w:cstheme="minorHAnsi"/>
          <w:sz w:val="22"/>
          <w:szCs w:val="22"/>
        </w:rPr>
        <w:t xml:space="preserve">- </w:t>
      </w:r>
      <w:r w:rsidR="003D5547">
        <w:rPr>
          <w:rFonts w:asciiTheme="minorHAnsi" w:hAnsiTheme="minorHAnsi" w:cstheme="minorHAnsi"/>
          <w:sz w:val="22"/>
          <w:szCs w:val="22"/>
        </w:rPr>
        <w:t xml:space="preserve">nebst hohem Wachstum </w:t>
      </w:r>
      <w:r w:rsidR="0001531B">
        <w:rPr>
          <w:rFonts w:asciiTheme="minorHAnsi" w:hAnsiTheme="minorHAnsi" w:cstheme="minorHAnsi"/>
          <w:sz w:val="22"/>
          <w:szCs w:val="22"/>
        </w:rPr>
        <w:t xml:space="preserve">- </w:t>
      </w:r>
      <w:r w:rsidRPr="004853FA">
        <w:rPr>
          <w:rFonts w:asciiTheme="minorHAnsi" w:hAnsiTheme="minorHAnsi" w:cstheme="minorHAnsi"/>
          <w:sz w:val="22"/>
          <w:szCs w:val="22"/>
        </w:rPr>
        <w:t>eine markante Tendenz zur Innovation. Denn g</w:t>
      </w:r>
      <w:r w:rsidR="00A83376" w:rsidRPr="004853FA">
        <w:rPr>
          <w:rFonts w:asciiTheme="minorHAnsi" w:hAnsiTheme="minorHAnsi" w:cstheme="minorHAnsi"/>
          <w:sz w:val="22"/>
          <w:szCs w:val="22"/>
        </w:rPr>
        <w:t>eht man</w:t>
      </w:r>
      <w:r w:rsidRPr="004853FA">
        <w:rPr>
          <w:rFonts w:asciiTheme="minorHAnsi" w:hAnsiTheme="minorHAnsi" w:cstheme="minorHAnsi"/>
          <w:sz w:val="22"/>
          <w:szCs w:val="22"/>
        </w:rPr>
        <w:t xml:space="preserve"> wie oben gezeigt </w:t>
      </w:r>
      <w:r w:rsidR="00A83376" w:rsidRPr="004853FA">
        <w:rPr>
          <w:rFonts w:asciiTheme="minorHAnsi" w:hAnsiTheme="minorHAnsi" w:cstheme="minorHAnsi"/>
          <w:sz w:val="22"/>
          <w:szCs w:val="22"/>
        </w:rPr>
        <w:t xml:space="preserve">davon aus, dass </w:t>
      </w:r>
      <w:r w:rsidR="00BE2DFE" w:rsidRPr="004853FA">
        <w:rPr>
          <w:rFonts w:asciiTheme="minorHAnsi" w:hAnsiTheme="minorHAnsi" w:cstheme="minorHAnsi"/>
          <w:sz w:val="22"/>
          <w:szCs w:val="22"/>
        </w:rPr>
        <w:t>der</w:t>
      </w:r>
      <w:r w:rsidR="00A83376" w:rsidRPr="004853FA">
        <w:rPr>
          <w:rFonts w:asciiTheme="minorHAnsi" w:hAnsiTheme="minorHAnsi" w:cstheme="minorHAnsi"/>
          <w:sz w:val="22"/>
          <w:szCs w:val="22"/>
        </w:rPr>
        <w:t xml:space="preserve"> Markt </w:t>
      </w:r>
      <w:r w:rsidR="00BE2DFE" w:rsidRPr="004853FA">
        <w:rPr>
          <w:rFonts w:asciiTheme="minorHAnsi" w:hAnsiTheme="minorHAnsi" w:cstheme="minorHAnsi"/>
          <w:sz w:val="22"/>
          <w:szCs w:val="22"/>
        </w:rPr>
        <w:t xml:space="preserve">für igaming Lösungen </w:t>
      </w:r>
      <w:r w:rsidR="00A83376" w:rsidRPr="004853FA">
        <w:rPr>
          <w:rFonts w:asciiTheme="minorHAnsi" w:hAnsiTheme="minorHAnsi" w:cstheme="minorHAnsi"/>
          <w:sz w:val="22"/>
          <w:szCs w:val="22"/>
        </w:rPr>
        <w:t xml:space="preserve">auch künftig großen Veränderungen unterliegt, werden sich die Angebote weiter verändern. </w:t>
      </w:r>
      <w:r w:rsidR="003D5547">
        <w:rPr>
          <w:rFonts w:asciiTheme="minorHAnsi" w:hAnsiTheme="minorHAnsi" w:cstheme="minorHAnsi"/>
          <w:sz w:val="22"/>
          <w:szCs w:val="22"/>
        </w:rPr>
        <w:t xml:space="preserve">Ein Verschmelzen der Angebote mit Virtual Reality Lösungen, Artificial Intelligence Services und erweiterten Technologien ist wahrscheinlich. </w:t>
      </w:r>
    </w:p>
    <w:p w14:paraId="4FA6E31E" w14:textId="77777777" w:rsidR="003D5547" w:rsidRDefault="003D5547" w:rsidP="005F5399">
      <w:pPr>
        <w:rPr>
          <w:rFonts w:asciiTheme="minorHAnsi" w:hAnsiTheme="minorHAnsi" w:cstheme="minorHAnsi"/>
          <w:sz w:val="22"/>
          <w:szCs w:val="22"/>
        </w:rPr>
      </w:pPr>
    </w:p>
    <w:p w14:paraId="5063D8BA" w14:textId="77777777" w:rsidR="003B7C6A" w:rsidRPr="004853FA" w:rsidRDefault="00A83376">
      <w:pPr>
        <w:rPr>
          <w:rFonts w:asciiTheme="minorHAnsi" w:hAnsiTheme="minorHAnsi" w:cstheme="minorHAnsi"/>
          <w:sz w:val="22"/>
          <w:szCs w:val="22"/>
        </w:rPr>
      </w:pPr>
      <w:r w:rsidRPr="004853FA">
        <w:rPr>
          <w:rFonts w:asciiTheme="minorHAnsi" w:hAnsiTheme="minorHAnsi" w:cstheme="minorHAnsi"/>
          <w:sz w:val="22"/>
          <w:szCs w:val="22"/>
        </w:rPr>
        <w:t>Die</w:t>
      </w:r>
      <w:r w:rsidR="005F5399" w:rsidRPr="004853FA">
        <w:rPr>
          <w:rFonts w:asciiTheme="minorHAnsi" w:hAnsiTheme="minorHAnsi" w:cstheme="minorHAnsi"/>
          <w:sz w:val="22"/>
          <w:szCs w:val="22"/>
        </w:rPr>
        <w:t xml:space="preserve"> stete Verfügbarkeit von Daten und der Anstieg der Verwendung mobiler Endgeräte </w:t>
      </w:r>
      <w:r w:rsidR="003D5547">
        <w:rPr>
          <w:rFonts w:asciiTheme="minorHAnsi" w:hAnsiTheme="minorHAnsi" w:cstheme="minorHAnsi"/>
          <w:sz w:val="22"/>
          <w:szCs w:val="22"/>
        </w:rPr>
        <w:t xml:space="preserve">sind </w:t>
      </w:r>
      <w:r w:rsidR="00BE2DFE" w:rsidRPr="004853FA">
        <w:rPr>
          <w:rFonts w:asciiTheme="minorHAnsi" w:hAnsiTheme="minorHAnsi" w:cstheme="minorHAnsi"/>
          <w:sz w:val="22"/>
          <w:szCs w:val="22"/>
        </w:rPr>
        <w:t>Boomfaktoren</w:t>
      </w:r>
      <w:r w:rsidR="0001531B">
        <w:rPr>
          <w:rFonts w:asciiTheme="minorHAnsi" w:hAnsiTheme="minorHAnsi" w:cstheme="minorHAnsi"/>
          <w:sz w:val="22"/>
          <w:szCs w:val="22"/>
        </w:rPr>
        <w:t>.</w:t>
      </w:r>
      <w:r w:rsidR="00BE2DFE" w:rsidRPr="004853FA">
        <w:rPr>
          <w:rFonts w:asciiTheme="minorHAnsi" w:hAnsiTheme="minorHAnsi" w:cstheme="minorHAnsi"/>
          <w:sz w:val="22"/>
          <w:szCs w:val="22"/>
        </w:rPr>
        <w:t xml:space="preserve"> </w:t>
      </w:r>
      <w:r w:rsidR="0001531B">
        <w:rPr>
          <w:rFonts w:asciiTheme="minorHAnsi" w:hAnsiTheme="minorHAnsi" w:cstheme="minorHAnsi"/>
          <w:sz w:val="22"/>
          <w:szCs w:val="22"/>
        </w:rPr>
        <w:t>Auch</w:t>
      </w:r>
      <w:r w:rsidR="00BE2DFE" w:rsidRPr="004853FA">
        <w:rPr>
          <w:rFonts w:asciiTheme="minorHAnsi" w:hAnsiTheme="minorHAnsi" w:cstheme="minorHAnsi"/>
          <w:sz w:val="22"/>
          <w:szCs w:val="22"/>
        </w:rPr>
        <w:t xml:space="preserve"> </w:t>
      </w:r>
      <w:r w:rsidR="003D5547">
        <w:rPr>
          <w:rFonts w:asciiTheme="minorHAnsi" w:hAnsiTheme="minorHAnsi" w:cstheme="minorHAnsi"/>
          <w:sz w:val="22"/>
          <w:szCs w:val="22"/>
        </w:rPr>
        <w:t>der</w:t>
      </w:r>
      <w:r w:rsidR="00BE2DFE" w:rsidRPr="004853FA">
        <w:rPr>
          <w:rFonts w:asciiTheme="minorHAnsi" w:hAnsiTheme="minorHAnsi" w:cstheme="minorHAnsi"/>
          <w:sz w:val="22"/>
          <w:szCs w:val="22"/>
        </w:rPr>
        <w:t xml:space="preserve"> Anstieg an Wohlstand, Verfügbarkeit von Freizeit, Mobilität und eine</w:t>
      </w:r>
      <w:r w:rsidR="0001531B">
        <w:rPr>
          <w:rFonts w:asciiTheme="minorHAnsi" w:hAnsiTheme="minorHAnsi" w:cstheme="minorHAnsi"/>
          <w:sz w:val="22"/>
          <w:szCs w:val="22"/>
        </w:rPr>
        <w:t>r</w:t>
      </w:r>
      <w:r w:rsidR="00BE2DFE" w:rsidRPr="004853FA">
        <w:rPr>
          <w:rFonts w:asciiTheme="minorHAnsi" w:hAnsiTheme="minorHAnsi" w:cstheme="minorHAnsi"/>
          <w:sz w:val="22"/>
          <w:szCs w:val="22"/>
        </w:rPr>
        <w:t xml:space="preserve"> verbesserte</w:t>
      </w:r>
      <w:r w:rsidR="0001531B">
        <w:rPr>
          <w:rFonts w:asciiTheme="minorHAnsi" w:hAnsiTheme="minorHAnsi" w:cstheme="minorHAnsi"/>
          <w:sz w:val="22"/>
          <w:szCs w:val="22"/>
        </w:rPr>
        <w:t>n</w:t>
      </w:r>
      <w:r w:rsidR="00BE2DFE" w:rsidRPr="004853FA">
        <w:rPr>
          <w:rFonts w:asciiTheme="minorHAnsi" w:hAnsiTheme="minorHAnsi" w:cstheme="minorHAnsi"/>
          <w:sz w:val="22"/>
          <w:szCs w:val="22"/>
        </w:rPr>
        <w:t xml:space="preserve"> Infrastruktur</w:t>
      </w:r>
      <w:r w:rsidR="003D5547">
        <w:rPr>
          <w:rFonts w:asciiTheme="minorHAnsi" w:hAnsiTheme="minorHAnsi" w:cstheme="minorHAnsi"/>
          <w:sz w:val="22"/>
          <w:szCs w:val="22"/>
        </w:rPr>
        <w:t xml:space="preserve"> </w:t>
      </w:r>
      <w:r w:rsidR="0001531B">
        <w:rPr>
          <w:rFonts w:asciiTheme="minorHAnsi" w:hAnsiTheme="minorHAnsi" w:cstheme="minorHAnsi"/>
          <w:sz w:val="22"/>
          <w:szCs w:val="22"/>
        </w:rPr>
        <w:t>wird für</w:t>
      </w:r>
      <w:r w:rsidR="003D5547">
        <w:rPr>
          <w:rFonts w:asciiTheme="minorHAnsi" w:hAnsiTheme="minorHAnsi" w:cstheme="minorHAnsi"/>
          <w:sz w:val="22"/>
          <w:szCs w:val="22"/>
        </w:rPr>
        <w:t xml:space="preserve"> vermehrte innovative Angebote sorgen. Die Weiterentwicklung dieses Marktes bleibt somit </w:t>
      </w:r>
      <w:r w:rsidR="0001531B">
        <w:rPr>
          <w:rFonts w:asciiTheme="minorHAnsi" w:hAnsiTheme="minorHAnsi" w:cstheme="minorHAnsi"/>
          <w:sz w:val="22"/>
          <w:szCs w:val="22"/>
        </w:rPr>
        <w:t xml:space="preserve">auch in der Zukunft </w:t>
      </w:r>
      <w:r w:rsidR="003D5547">
        <w:rPr>
          <w:rFonts w:asciiTheme="minorHAnsi" w:hAnsiTheme="minorHAnsi" w:cstheme="minorHAnsi"/>
          <w:sz w:val="22"/>
          <w:szCs w:val="22"/>
        </w:rPr>
        <w:t>spannend.</w:t>
      </w:r>
    </w:p>
    <w:sectPr w:rsidR="003B7C6A" w:rsidRPr="004853FA" w:rsidSect="00BD4DAF">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99"/>
    <w:rsid w:val="0001531B"/>
    <w:rsid w:val="00057E1D"/>
    <w:rsid w:val="003B1C90"/>
    <w:rsid w:val="003D5547"/>
    <w:rsid w:val="004853FA"/>
    <w:rsid w:val="004A1BFB"/>
    <w:rsid w:val="005206D4"/>
    <w:rsid w:val="005F5399"/>
    <w:rsid w:val="00790A56"/>
    <w:rsid w:val="008670BB"/>
    <w:rsid w:val="008E339C"/>
    <w:rsid w:val="008F20A1"/>
    <w:rsid w:val="00912DD9"/>
    <w:rsid w:val="009C4D51"/>
    <w:rsid w:val="00A83376"/>
    <w:rsid w:val="00A83BEC"/>
    <w:rsid w:val="00BD4DAF"/>
    <w:rsid w:val="00BE2DF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70B3D"/>
  <w15:chartTrackingRefBased/>
  <w15:docId w15:val="{1B165A4D-12D6-D049-9526-21947B7B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5399"/>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F5399"/>
    <w:rPr>
      <w:color w:val="0563C1" w:themeColor="hyperlink"/>
      <w:u w:val="single"/>
    </w:rPr>
  </w:style>
  <w:style w:type="character" w:customStyle="1" w:styleId="apple-converted-space">
    <w:name w:val="apple-converted-space"/>
    <w:basedOn w:val="Absatz-Standardschriftart"/>
    <w:rsid w:val="005F5399"/>
  </w:style>
  <w:style w:type="character" w:styleId="NichtaufgelsteErwhnung">
    <w:name w:val="Unresolved Mention"/>
    <w:basedOn w:val="Absatz-Standardschriftart"/>
    <w:uiPriority w:val="99"/>
    <w:semiHidden/>
    <w:unhideWhenUsed/>
    <w:rsid w:val="003B1C90"/>
    <w:rPr>
      <w:color w:val="605E5C"/>
      <w:shd w:val="clear" w:color="auto" w:fill="E1DFDD"/>
    </w:rPr>
  </w:style>
  <w:style w:type="character" w:styleId="BesuchterLink">
    <w:name w:val="FollowedHyperlink"/>
    <w:basedOn w:val="Absatz-Standardschriftart"/>
    <w:uiPriority w:val="99"/>
    <w:semiHidden/>
    <w:unhideWhenUsed/>
    <w:rsid w:val="003B1C90"/>
    <w:rPr>
      <w:color w:val="954F72" w:themeColor="followedHyperlink"/>
      <w:u w:val="single"/>
    </w:rPr>
  </w:style>
  <w:style w:type="paragraph" w:styleId="StandardWeb">
    <w:name w:val="Normal (Web)"/>
    <w:basedOn w:val="Standard"/>
    <w:uiPriority w:val="99"/>
    <w:semiHidden/>
    <w:unhideWhenUsed/>
    <w:rsid w:val="00912DD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105167">
      <w:bodyDiv w:val="1"/>
      <w:marLeft w:val="0"/>
      <w:marRight w:val="0"/>
      <w:marTop w:val="0"/>
      <w:marBottom w:val="0"/>
      <w:divBdr>
        <w:top w:val="none" w:sz="0" w:space="0" w:color="auto"/>
        <w:left w:val="none" w:sz="0" w:space="0" w:color="auto"/>
        <w:bottom w:val="none" w:sz="0" w:space="0" w:color="auto"/>
        <w:right w:val="none" w:sz="0" w:space="0" w:color="auto"/>
      </w:divBdr>
      <w:divsChild>
        <w:div w:id="28603087">
          <w:marLeft w:val="0"/>
          <w:marRight w:val="0"/>
          <w:marTop w:val="0"/>
          <w:marBottom w:val="0"/>
          <w:divBdr>
            <w:top w:val="none" w:sz="0" w:space="0" w:color="auto"/>
            <w:left w:val="none" w:sz="0" w:space="0" w:color="auto"/>
            <w:bottom w:val="none" w:sz="0" w:space="0" w:color="auto"/>
            <w:right w:val="none" w:sz="0" w:space="0" w:color="auto"/>
          </w:divBdr>
          <w:divsChild>
            <w:div w:id="913902466">
              <w:marLeft w:val="0"/>
              <w:marRight w:val="0"/>
              <w:marTop w:val="0"/>
              <w:marBottom w:val="0"/>
              <w:divBdr>
                <w:top w:val="none" w:sz="0" w:space="0" w:color="auto"/>
                <w:left w:val="none" w:sz="0" w:space="0" w:color="auto"/>
                <w:bottom w:val="none" w:sz="0" w:space="0" w:color="auto"/>
                <w:right w:val="none" w:sz="0" w:space="0" w:color="auto"/>
              </w:divBdr>
              <w:divsChild>
                <w:div w:id="138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25576">
      <w:bodyDiv w:val="1"/>
      <w:marLeft w:val="0"/>
      <w:marRight w:val="0"/>
      <w:marTop w:val="0"/>
      <w:marBottom w:val="0"/>
      <w:divBdr>
        <w:top w:val="none" w:sz="0" w:space="0" w:color="auto"/>
        <w:left w:val="none" w:sz="0" w:space="0" w:color="auto"/>
        <w:bottom w:val="none" w:sz="0" w:space="0" w:color="auto"/>
        <w:right w:val="none" w:sz="0" w:space="0" w:color="auto"/>
      </w:divBdr>
      <w:divsChild>
        <w:div w:id="91709312">
          <w:marLeft w:val="0"/>
          <w:marRight w:val="0"/>
          <w:marTop w:val="0"/>
          <w:marBottom w:val="0"/>
          <w:divBdr>
            <w:top w:val="none" w:sz="0" w:space="0" w:color="auto"/>
            <w:left w:val="none" w:sz="0" w:space="0" w:color="auto"/>
            <w:bottom w:val="none" w:sz="0" w:space="0" w:color="auto"/>
            <w:right w:val="none" w:sz="0" w:space="0" w:color="auto"/>
          </w:divBdr>
          <w:divsChild>
            <w:div w:id="1391148840">
              <w:marLeft w:val="0"/>
              <w:marRight w:val="0"/>
              <w:marTop w:val="0"/>
              <w:marBottom w:val="0"/>
              <w:divBdr>
                <w:top w:val="none" w:sz="0" w:space="0" w:color="auto"/>
                <w:left w:val="none" w:sz="0" w:space="0" w:color="auto"/>
                <w:bottom w:val="none" w:sz="0" w:space="0" w:color="auto"/>
                <w:right w:val="none" w:sz="0" w:space="0" w:color="auto"/>
              </w:divBdr>
              <w:divsChild>
                <w:div w:id="1956250690">
                  <w:marLeft w:val="0"/>
                  <w:marRight w:val="0"/>
                  <w:marTop w:val="0"/>
                  <w:marBottom w:val="0"/>
                  <w:divBdr>
                    <w:top w:val="none" w:sz="0" w:space="0" w:color="auto"/>
                    <w:left w:val="none" w:sz="0" w:space="0" w:color="auto"/>
                    <w:bottom w:val="none" w:sz="0" w:space="0" w:color="auto"/>
                    <w:right w:val="none" w:sz="0" w:space="0" w:color="auto"/>
                  </w:divBdr>
                  <w:divsChild>
                    <w:div w:id="24130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tatista.com/statistik/studie/id/45113/dokument/digital-media-repor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e.statista.com/outlook/212/100/online-games/weltwe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de.statista.com/outlook/212/100/online-games/weltweit" TargetMode="External"/><Relationship Id="rId5" Type="http://schemas.openxmlformats.org/officeDocument/2006/relationships/hyperlink" Target="https://de.statista.com/outlook/212/100/online-games/weltweit" TargetMode="External"/><Relationship Id="rId10" Type="http://schemas.openxmlformats.org/officeDocument/2006/relationships/image" Target="media/image2.tiff"/><Relationship Id="rId4" Type="http://schemas.openxmlformats.org/officeDocument/2006/relationships/hyperlink" Target="https://www.karamba.com/" TargetMode="External"/><Relationship Id="rId9" Type="http://schemas.openxmlformats.org/officeDocument/2006/relationships/hyperlink" Target="https://de.statista.com/outlook/200/100/digitale-medien/weltwei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3835</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Geiger</dc:creator>
  <cp:keywords/>
  <dc:description/>
  <cp:lastModifiedBy>Gunther Oswalder</cp:lastModifiedBy>
  <cp:revision>2</cp:revision>
  <dcterms:created xsi:type="dcterms:W3CDTF">2020-08-31T07:57:00Z</dcterms:created>
  <dcterms:modified xsi:type="dcterms:W3CDTF">2020-08-31T07:57:00Z</dcterms:modified>
</cp:coreProperties>
</file>